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68A" w:rsidRDefault="008B668A" w:rsidP="008B668A">
      <w:pPr>
        <w:spacing w:after="0" w:line="240" w:lineRule="auto"/>
        <w:jc w:val="center"/>
        <w:rPr>
          <w:b/>
          <w:color w:val="7030A0"/>
        </w:rPr>
      </w:pPr>
      <w:bookmarkStart w:id="0" w:name="_GoBack"/>
      <w:bookmarkEnd w:id="0"/>
      <w:r>
        <w:rPr>
          <w:b/>
          <w:color w:val="7030A0"/>
        </w:rPr>
        <w:t>HOLLY SPRINGS HIGH SCHOOL</w:t>
      </w:r>
    </w:p>
    <w:p w:rsidR="008B668A" w:rsidRDefault="008B668A" w:rsidP="008B668A">
      <w:pPr>
        <w:spacing w:after="0" w:line="240" w:lineRule="auto"/>
        <w:jc w:val="center"/>
        <w:rPr>
          <w:b/>
        </w:rPr>
      </w:pPr>
      <w:r w:rsidRPr="00F917D1">
        <w:rPr>
          <w:b/>
          <w:color w:val="FF0000"/>
          <w:highlight w:val="yellow"/>
        </w:rPr>
        <w:t>DRAFT</w:t>
      </w:r>
      <w:r w:rsidRPr="00F917D1">
        <w:rPr>
          <w:b/>
          <w:color w:val="FF0000"/>
        </w:rPr>
        <w:t xml:space="preserve"> </w:t>
      </w:r>
      <w:r>
        <w:rPr>
          <w:b/>
        </w:rPr>
        <w:t>– 2017-18 Registration Information for Rising 9</w:t>
      </w:r>
      <w:r w:rsidRPr="00F917D1">
        <w:rPr>
          <w:b/>
          <w:vertAlign w:val="superscript"/>
        </w:rPr>
        <w:t>th</w:t>
      </w:r>
      <w:r>
        <w:rPr>
          <w:b/>
        </w:rPr>
        <w:t xml:space="preserve"> Graders – </w:t>
      </w:r>
      <w:r w:rsidRPr="00F917D1">
        <w:rPr>
          <w:b/>
          <w:color w:val="FF0000"/>
          <w:highlight w:val="yellow"/>
        </w:rPr>
        <w:t>DRAFT</w:t>
      </w:r>
    </w:p>
    <w:p w:rsidR="008B668A" w:rsidRDefault="008B668A" w:rsidP="008B668A">
      <w:pPr>
        <w:spacing w:after="0" w:line="240" w:lineRule="auto"/>
        <w:jc w:val="center"/>
        <w:rPr>
          <w:b/>
        </w:rPr>
      </w:pPr>
    </w:p>
    <w:p w:rsidR="008B668A" w:rsidRPr="005B6ACE" w:rsidRDefault="008B668A" w:rsidP="008B668A">
      <w:pPr>
        <w:spacing w:after="0" w:line="240" w:lineRule="auto"/>
        <w:jc w:val="center"/>
        <w:rPr>
          <w:sz w:val="20"/>
          <w:szCs w:val="20"/>
        </w:rPr>
      </w:pPr>
      <w:r w:rsidRPr="005B6ACE">
        <w:rPr>
          <w:sz w:val="20"/>
          <w:szCs w:val="20"/>
        </w:rPr>
        <w:t>This document is intended to provide recommendations for course selections for 9</w:t>
      </w:r>
      <w:r w:rsidRPr="005B6ACE">
        <w:rPr>
          <w:sz w:val="20"/>
          <w:szCs w:val="20"/>
          <w:vertAlign w:val="superscript"/>
        </w:rPr>
        <w:t>th</w:t>
      </w:r>
      <w:r w:rsidRPr="005B6ACE">
        <w:rPr>
          <w:sz w:val="20"/>
          <w:szCs w:val="20"/>
        </w:rPr>
        <w:t xml:space="preserve"> grade at Holly Springs High.  As with all recommendations, they are generalizations.  In choosing course selections, students and parents are encouraged to choose the most challenging course where they can still find success!</w:t>
      </w:r>
    </w:p>
    <w:p w:rsidR="008B668A" w:rsidRPr="005B6ACE" w:rsidRDefault="008B668A" w:rsidP="008B668A">
      <w:pPr>
        <w:spacing w:after="0" w:line="240" w:lineRule="auto"/>
        <w:jc w:val="center"/>
      </w:pPr>
    </w:p>
    <w:tbl>
      <w:tblPr>
        <w:tblStyle w:val="TableGrid"/>
        <w:tblW w:w="0" w:type="auto"/>
        <w:tblBorders>
          <w:insideH w:val="none" w:sz="0" w:space="0" w:color="auto"/>
        </w:tblBorders>
        <w:tblLook w:val="04A0" w:firstRow="1" w:lastRow="0" w:firstColumn="1" w:lastColumn="0" w:noHBand="0" w:noVBand="1"/>
      </w:tblPr>
      <w:tblGrid>
        <w:gridCol w:w="5575"/>
        <w:gridCol w:w="5215"/>
      </w:tblGrid>
      <w:tr w:rsidR="008B668A" w:rsidRPr="005B6ACE" w:rsidTr="0089070B">
        <w:tc>
          <w:tcPr>
            <w:tcW w:w="10790" w:type="dxa"/>
            <w:gridSpan w:val="2"/>
            <w:tcBorders>
              <w:bottom w:val="nil"/>
            </w:tcBorders>
            <w:shd w:val="clear" w:color="auto" w:fill="D9D9D9" w:themeFill="background1" w:themeFillShade="D9"/>
          </w:tcPr>
          <w:p w:rsidR="008B668A" w:rsidRPr="005B6ACE" w:rsidRDefault="008B668A" w:rsidP="0089070B">
            <w:pPr>
              <w:rPr>
                <w:b/>
              </w:rPr>
            </w:pPr>
            <w:r w:rsidRPr="005B6ACE">
              <w:rPr>
                <w:b/>
              </w:rPr>
              <w:t>English I Options</w:t>
            </w:r>
          </w:p>
        </w:tc>
      </w:tr>
      <w:tr w:rsidR="008B668A" w:rsidRPr="005B6ACE" w:rsidTr="0089070B">
        <w:tc>
          <w:tcPr>
            <w:tcW w:w="5575" w:type="dxa"/>
            <w:tcBorders>
              <w:top w:val="nil"/>
              <w:bottom w:val="nil"/>
              <w:right w:val="nil"/>
            </w:tcBorders>
          </w:tcPr>
          <w:p w:rsidR="008B668A" w:rsidRPr="005B6ACE" w:rsidRDefault="008B668A" w:rsidP="0089070B">
            <w:pPr>
              <w:ind w:left="157"/>
              <w:rPr>
                <w:sz w:val="20"/>
                <w:szCs w:val="20"/>
                <w:u w:val="single"/>
              </w:rPr>
            </w:pPr>
            <w:r w:rsidRPr="005B6ACE">
              <w:rPr>
                <w:sz w:val="20"/>
                <w:szCs w:val="20"/>
                <w:u w:val="single"/>
              </w:rPr>
              <w:t>Course Option</w:t>
            </w:r>
          </w:p>
        </w:tc>
        <w:tc>
          <w:tcPr>
            <w:tcW w:w="5215" w:type="dxa"/>
            <w:tcBorders>
              <w:top w:val="nil"/>
              <w:left w:val="nil"/>
              <w:bottom w:val="nil"/>
            </w:tcBorders>
          </w:tcPr>
          <w:p w:rsidR="008B668A" w:rsidRPr="005B6ACE" w:rsidRDefault="008B668A" w:rsidP="0089070B">
            <w:pPr>
              <w:rPr>
                <w:sz w:val="20"/>
                <w:szCs w:val="20"/>
                <w:u w:val="single"/>
              </w:rPr>
            </w:pPr>
            <w:r w:rsidRPr="005B6ACE">
              <w:rPr>
                <w:sz w:val="20"/>
                <w:szCs w:val="20"/>
                <w:u w:val="single"/>
              </w:rPr>
              <w:t xml:space="preserve">Recommended if … </w:t>
            </w:r>
          </w:p>
        </w:tc>
      </w:tr>
      <w:tr w:rsidR="008B668A" w:rsidRPr="005B6ACE" w:rsidTr="0089070B">
        <w:tc>
          <w:tcPr>
            <w:tcW w:w="5575" w:type="dxa"/>
            <w:tcBorders>
              <w:top w:val="nil"/>
              <w:bottom w:val="single" w:sz="4" w:space="0" w:color="auto"/>
              <w:right w:val="nil"/>
            </w:tcBorders>
          </w:tcPr>
          <w:p w:rsidR="008B668A" w:rsidRPr="005B6ACE" w:rsidRDefault="008B668A" w:rsidP="0089070B">
            <w:pPr>
              <w:ind w:left="157"/>
              <w:rPr>
                <w:sz w:val="20"/>
                <w:szCs w:val="20"/>
              </w:rPr>
            </w:pPr>
            <w:r w:rsidRPr="005B6ACE">
              <w:rPr>
                <w:sz w:val="20"/>
                <w:szCs w:val="20"/>
              </w:rPr>
              <w:t>English I</w:t>
            </w:r>
          </w:p>
          <w:p w:rsidR="008B668A" w:rsidRPr="005B6ACE" w:rsidRDefault="008B668A" w:rsidP="0089070B">
            <w:pPr>
              <w:ind w:left="157"/>
              <w:rPr>
                <w:sz w:val="20"/>
                <w:szCs w:val="20"/>
              </w:rPr>
            </w:pPr>
            <w:r w:rsidRPr="005B6ACE">
              <w:rPr>
                <w:sz w:val="20"/>
                <w:szCs w:val="20"/>
              </w:rPr>
              <w:t>English I Honors</w:t>
            </w:r>
          </w:p>
        </w:tc>
        <w:tc>
          <w:tcPr>
            <w:tcW w:w="5215" w:type="dxa"/>
            <w:tcBorders>
              <w:top w:val="nil"/>
              <w:left w:val="nil"/>
              <w:bottom w:val="single" w:sz="4" w:space="0" w:color="auto"/>
            </w:tcBorders>
          </w:tcPr>
          <w:p w:rsidR="008B668A" w:rsidRPr="005B6ACE" w:rsidRDefault="008B668A" w:rsidP="0089070B">
            <w:pPr>
              <w:rPr>
                <w:sz w:val="20"/>
                <w:szCs w:val="20"/>
              </w:rPr>
            </w:pPr>
            <w:r w:rsidRPr="005B6ACE">
              <w:rPr>
                <w:sz w:val="20"/>
                <w:szCs w:val="20"/>
              </w:rPr>
              <w:t>C or below class average in 8</w:t>
            </w:r>
            <w:r w:rsidRPr="005B6ACE">
              <w:rPr>
                <w:sz w:val="20"/>
                <w:szCs w:val="20"/>
                <w:vertAlign w:val="superscript"/>
              </w:rPr>
              <w:t>th</w:t>
            </w:r>
            <w:r w:rsidRPr="005B6ACE">
              <w:rPr>
                <w:sz w:val="20"/>
                <w:szCs w:val="20"/>
              </w:rPr>
              <w:t xml:space="preserve"> Grade Language Arts</w:t>
            </w:r>
          </w:p>
          <w:p w:rsidR="008B668A" w:rsidRPr="005B6ACE" w:rsidRDefault="008B668A" w:rsidP="0089070B">
            <w:pPr>
              <w:rPr>
                <w:sz w:val="20"/>
                <w:szCs w:val="20"/>
              </w:rPr>
            </w:pPr>
            <w:r w:rsidRPr="005B6ACE">
              <w:rPr>
                <w:sz w:val="20"/>
                <w:szCs w:val="20"/>
              </w:rPr>
              <w:t>B or above class average in 8</w:t>
            </w:r>
            <w:r w:rsidRPr="005B6ACE">
              <w:rPr>
                <w:sz w:val="20"/>
                <w:szCs w:val="20"/>
                <w:vertAlign w:val="superscript"/>
              </w:rPr>
              <w:t>th</w:t>
            </w:r>
            <w:r w:rsidRPr="005B6ACE">
              <w:rPr>
                <w:sz w:val="20"/>
                <w:szCs w:val="20"/>
              </w:rPr>
              <w:t xml:space="preserve"> Grade Language Arts</w:t>
            </w:r>
          </w:p>
        </w:tc>
      </w:tr>
    </w:tbl>
    <w:p w:rsidR="008B668A" w:rsidRDefault="008B668A" w:rsidP="008B668A">
      <w:pPr>
        <w:spacing w:after="0" w:line="240" w:lineRule="auto"/>
      </w:pPr>
    </w:p>
    <w:tbl>
      <w:tblPr>
        <w:tblStyle w:val="TableGrid"/>
        <w:tblW w:w="0" w:type="auto"/>
        <w:tblBorders>
          <w:insideH w:val="none" w:sz="0" w:space="0" w:color="auto"/>
        </w:tblBorders>
        <w:tblLook w:val="04A0" w:firstRow="1" w:lastRow="0" w:firstColumn="1" w:lastColumn="0" w:noHBand="0" w:noVBand="1"/>
      </w:tblPr>
      <w:tblGrid>
        <w:gridCol w:w="5575"/>
        <w:gridCol w:w="5215"/>
      </w:tblGrid>
      <w:tr w:rsidR="008B668A" w:rsidRPr="005B6ACE" w:rsidTr="0089070B">
        <w:tc>
          <w:tcPr>
            <w:tcW w:w="10790" w:type="dxa"/>
            <w:gridSpan w:val="2"/>
            <w:tcBorders>
              <w:bottom w:val="nil"/>
            </w:tcBorders>
            <w:shd w:val="clear" w:color="auto" w:fill="D9D9D9" w:themeFill="background1" w:themeFillShade="D9"/>
          </w:tcPr>
          <w:p w:rsidR="008B668A" w:rsidRPr="005B6ACE" w:rsidRDefault="008B668A" w:rsidP="0089070B">
            <w:pPr>
              <w:rPr>
                <w:b/>
              </w:rPr>
            </w:pPr>
            <w:r>
              <w:rPr>
                <w:b/>
              </w:rPr>
              <w:t>Math Options</w:t>
            </w:r>
          </w:p>
        </w:tc>
      </w:tr>
      <w:tr w:rsidR="008B668A" w:rsidRPr="005B6ACE" w:rsidTr="0089070B">
        <w:tc>
          <w:tcPr>
            <w:tcW w:w="5575" w:type="dxa"/>
            <w:tcBorders>
              <w:top w:val="nil"/>
              <w:bottom w:val="single" w:sz="4" w:space="0" w:color="auto"/>
              <w:right w:val="nil"/>
            </w:tcBorders>
          </w:tcPr>
          <w:p w:rsidR="008B668A" w:rsidRPr="005B6ACE" w:rsidRDefault="008B668A" w:rsidP="0089070B">
            <w:pPr>
              <w:ind w:left="157"/>
              <w:rPr>
                <w:sz w:val="20"/>
                <w:szCs w:val="20"/>
                <w:u w:val="single"/>
              </w:rPr>
            </w:pPr>
            <w:r w:rsidRPr="005B6ACE">
              <w:rPr>
                <w:sz w:val="20"/>
                <w:szCs w:val="20"/>
                <w:u w:val="single"/>
              </w:rPr>
              <w:t>Course Option</w:t>
            </w:r>
          </w:p>
          <w:p w:rsidR="008B668A" w:rsidRPr="005B6ACE" w:rsidRDefault="008B668A" w:rsidP="0089070B">
            <w:pPr>
              <w:ind w:left="157"/>
              <w:rPr>
                <w:sz w:val="20"/>
                <w:szCs w:val="20"/>
              </w:rPr>
            </w:pPr>
            <w:r w:rsidRPr="005B6ACE">
              <w:rPr>
                <w:sz w:val="20"/>
                <w:szCs w:val="20"/>
              </w:rPr>
              <w:t>Foundations of Math I (fall) &amp; Math IB (spring)</w:t>
            </w:r>
          </w:p>
          <w:p w:rsidR="008B668A" w:rsidRPr="005B6ACE" w:rsidRDefault="008B668A" w:rsidP="0089070B">
            <w:pPr>
              <w:ind w:left="157"/>
              <w:rPr>
                <w:sz w:val="20"/>
                <w:szCs w:val="20"/>
              </w:rPr>
            </w:pPr>
            <w:r w:rsidRPr="005B6ACE">
              <w:rPr>
                <w:sz w:val="20"/>
                <w:szCs w:val="20"/>
              </w:rPr>
              <w:t>Math I (semester course)</w:t>
            </w:r>
          </w:p>
          <w:p w:rsidR="008B668A" w:rsidRPr="005B6ACE" w:rsidRDefault="008B668A" w:rsidP="0089070B">
            <w:pPr>
              <w:ind w:left="157"/>
              <w:rPr>
                <w:sz w:val="20"/>
                <w:szCs w:val="20"/>
              </w:rPr>
            </w:pPr>
            <w:r w:rsidRPr="005B6ACE">
              <w:rPr>
                <w:sz w:val="20"/>
                <w:szCs w:val="20"/>
              </w:rPr>
              <w:t>Foundations of Math II (fall) &amp; Math II (spring)</w:t>
            </w:r>
          </w:p>
          <w:p w:rsidR="008B668A" w:rsidRPr="005B6ACE" w:rsidRDefault="008B668A" w:rsidP="0089070B">
            <w:pPr>
              <w:ind w:left="157"/>
              <w:rPr>
                <w:sz w:val="20"/>
                <w:szCs w:val="20"/>
              </w:rPr>
            </w:pPr>
            <w:r w:rsidRPr="005B6ACE">
              <w:rPr>
                <w:sz w:val="20"/>
                <w:szCs w:val="20"/>
              </w:rPr>
              <w:t>Math II</w:t>
            </w:r>
          </w:p>
          <w:p w:rsidR="008B668A" w:rsidRPr="005B6ACE" w:rsidRDefault="008B668A" w:rsidP="0089070B">
            <w:pPr>
              <w:ind w:left="157"/>
              <w:rPr>
                <w:sz w:val="20"/>
                <w:szCs w:val="20"/>
              </w:rPr>
            </w:pPr>
            <w:r w:rsidRPr="005B6ACE">
              <w:rPr>
                <w:sz w:val="20"/>
                <w:szCs w:val="20"/>
              </w:rPr>
              <w:t>Math II Honors</w:t>
            </w:r>
          </w:p>
        </w:tc>
        <w:tc>
          <w:tcPr>
            <w:tcW w:w="5215" w:type="dxa"/>
            <w:tcBorders>
              <w:top w:val="nil"/>
              <w:left w:val="nil"/>
              <w:bottom w:val="single" w:sz="4" w:space="0" w:color="auto"/>
            </w:tcBorders>
          </w:tcPr>
          <w:p w:rsidR="008B668A" w:rsidRPr="005B6ACE" w:rsidRDefault="008B668A" w:rsidP="0089070B">
            <w:pPr>
              <w:rPr>
                <w:sz w:val="20"/>
                <w:szCs w:val="20"/>
                <w:u w:val="single"/>
              </w:rPr>
            </w:pPr>
            <w:r w:rsidRPr="005B6ACE">
              <w:rPr>
                <w:sz w:val="20"/>
                <w:szCs w:val="20"/>
                <w:u w:val="single"/>
              </w:rPr>
              <w:t>Recommended if …</w:t>
            </w:r>
          </w:p>
          <w:p w:rsidR="008B668A" w:rsidRPr="005B6ACE" w:rsidRDefault="008B668A" w:rsidP="0089070B">
            <w:pPr>
              <w:rPr>
                <w:sz w:val="20"/>
                <w:szCs w:val="20"/>
              </w:rPr>
            </w:pPr>
            <w:r w:rsidRPr="005B6ACE">
              <w:rPr>
                <w:sz w:val="20"/>
                <w:szCs w:val="20"/>
              </w:rPr>
              <w:t>8</w:t>
            </w:r>
            <w:r w:rsidRPr="005B6ACE">
              <w:rPr>
                <w:sz w:val="20"/>
                <w:szCs w:val="20"/>
                <w:vertAlign w:val="superscript"/>
              </w:rPr>
              <w:t>th</w:t>
            </w:r>
            <w:r w:rsidRPr="005B6ACE">
              <w:rPr>
                <w:sz w:val="20"/>
                <w:szCs w:val="20"/>
              </w:rPr>
              <w:t xml:space="preserve"> Grade Math taken in 8</w:t>
            </w:r>
            <w:r w:rsidRPr="005B6ACE">
              <w:rPr>
                <w:sz w:val="20"/>
                <w:szCs w:val="20"/>
                <w:vertAlign w:val="superscript"/>
              </w:rPr>
              <w:t>th</w:t>
            </w:r>
            <w:r w:rsidRPr="005B6ACE">
              <w:rPr>
                <w:sz w:val="20"/>
                <w:szCs w:val="20"/>
              </w:rPr>
              <w:t xml:space="preserve"> Grade</w:t>
            </w:r>
          </w:p>
          <w:p w:rsidR="008B668A" w:rsidRPr="005B6ACE" w:rsidRDefault="008B668A" w:rsidP="0089070B">
            <w:pPr>
              <w:rPr>
                <w:sz w:val="20"/>
                <w:szCs w:val="20"/>
              </w:rPr>
            </w:pPr>
            <w:r w:rsidRPr="005B6ACE">
              <w:rPr>
                <w:sz w:val="20"/>
                <w:szCs w:val="20"/>
              </w:rPr>
              <w:t>8</w:t>
            </w:r>
            <w:r w:rsidRPr="005B6ACE">
              <w:rPr>
                <w:sz w:val="20"/>
                <w:szCs w:val="20"/>
                <w:vertAlign w:val="superscript"/>
              </w:rPr>
              <w:t>th</w:t>
            </w:r>
            <w:r w:rsidRPr="005B6ACE">
              <w:rPr>
                <w:sz w:val="20"/>
                <w:szCs w:val="20"/>
              </w:rPr>
              <w:t xml:space="preserve"> Grade Math taken in 8</w:t>
            </w:r>
            <w:r w:rsidRPr="005B6ACE">
              <w:rPr>
                <w:sz w:val="20"/>
                <w:szCs w:val="20"/>
                <w:vertAlign w:val="superscript"/>
              </w:rPr>
              <w:t>th</w:t>
            </w:r>
            <w:r w:rsidRPr="005B6ACE">
              <w:rPr>
                <w:sz w:val="20"/>
                <w:szCs w:val="20"/>
              </w:rPr>
              <w:t xml:space="preserve"> Grade / Retaking Math I</w:t>
            </w:r>
          </w:p>
          <w:p w:rsidR="008B668A" w:rsidRPr="005B6ACE" w:rsidRDefault="008B668A" w:rsidP="0089070B">
            <w:pPr>
              <w:rPr>
                <w:sz w:val="20"/>
                <w:szCs w:val="20"/>
              </w:rPr>
            </w:pPr>
            <w:r w:rsidRPr="005B6ACE">
              <w:rPr>
                <w:sz w:val="20"/>
                <w:szCs w:val="20"/>
              </w:rPr>
              <w:t>D in Math I course during 8</w:t>
            </w:r>
            <w:r w:rsidRPr="005B6ACE">
              <w:rPr>
                <w:sz w:val="20"/>
                <w:szCs w:val="20"/>
                <w:vertAlign w:val="superscript"/>
              </w:rPr>
              <w:t>th</w:t>
            </w:r>
            <w:r w:rsidRPr="005B6ACE">
              <w:rPr>
                <w:sz w:val="20"/>
                <w:szCs w:val="20"/>
              </w:rPr>
              <w:t xml:space="preserve"> Grade</w:t>
            </w:r>
          </w:p>
          <w:p w:rsidR="008B668A" w:rsidRPr="005B6ACE" w:rsidRDefault="008B668A" w:rsidP="0089070B">
            <w:pPr>
              <w:rPr>
                <w:sz w:val="20"/>
                <w:szCs w:val="20"/>
              </w:rPr>
            </w:pPr>
            <w:r w:rsidRPr="005B6ACE">
              <w:rPr>
                <w:sz w:val="20"/>
                <w:szCs w:val="20"/>
              </w:rPr>
              <w:t>C or below in Math I course during 8</w:t>
            </w:r>
            <w:r w:rsidRPr="005B6ACE">
              <w:rPr>
                <w:sz w:val="20"/>
                <w:szCs w:val="20"/>
                <w:vertAlign w:val="superscript"/>
              </w:rPr>
              <w:t>th</w:t>
            </w:r>
            <w:r w:rsidRPr="005B6ACE">
              <w:rPr>
                <w:sz w:val="20"/>
                <w:szCs w:val="20"/>
              </w:rPr>
              <w:t xml:space="preserve"> Grade</w:t>
            </w:r>
          </w:p>
          <w:p w:rsidR="008B668A" w:rsidRPr="005B6ACE" w:rsidRDefault="008B668A" w:rsidP="0089070B">
            <w:pPr>
              <w:rPr>
                <w:sz w:val="20"/>
                <w:szCs w:val="20"/>
              </w:rPr>
            </w:pPr>
            <w:r w:rsidRPr="005B6ACE">
              <w:rPr>
                <w:sz w:val="20"/>
                <w:szCs w:val="20"/>
              </w:rPr>
              <w:t>B or above in Math I course during 8</w:t>
            </w:r>
            <w:r w:rsidRPr="005B6ACE">
              <w:rPr>
                <w:sz w:val="20"/>
                <w:szCs w:val="20"/>
                <w:vertAlign w:val="superscript"/>
              </w:rPr>
              <w:t>th</w:t>
            </w:r>
            <w:r w:rsidRPr="005B6ACE">
              <w:rPr>
                <w:sz w:val="20"/>
                <w:szCs w:val="20"/>
              </w:rPr>
              <w:t xml:space="preserve"> Grade</w:t>
            </w:r>
          </w:p>
        </w:tc>
      </w:tr>
    </w:tbl>
    <w:p w:rsidR="008B668A" w:rsidRDefault="008B668A" w:rsidP="008B668A">
      <w:pPr>
        <w:spacing w:after="0" w:line="240" w:lineRule="auto"/>
      </w:pPr>
    </w:p>
    <w:tbl>
      <w:tblPr>
        <w:tblStyle w:val="TableGrid"/>
        <w:tblW w:w="0" w:type="auto"/>
        <w:tblBorders>
          <w:insideH w:val="none" w:sz="0" w:space="0" w:color="auto"/>
        </w:tblBorders>
        <w:tblLook w:val="04A0" w:firstRow="1" w:lastRow="0" w:firstColumn="1" w:lastColumn="0" w:noHBand="0" w:noVBand="1"/>
      </w:tblPr>
      <w:tblGrid>
        <w:gridCol w:w="5575"/>
        <w:gridCol w:w="5215"/>
      </w:tblGrid>
      <w:tr w:rsidR="008B668A" w:rsidRPr="005B6ACE" w:rsidTr="0089070B">
        <w:tc>
          <w:tcPr>
            <w:tcW w:w="10790" w:type="dxa"/>
            <w:gridSpan w:val="2"/>
            <w:tcBorders>
              <w:bottom w:val="nil"/>
            </w:tcBorders>
            <w:shd w:val="clear" w:color="auto" w:fill="D9D9D9" w:themeFill="background1" w:themeFillShade="D9"/>
          </w:tcPr>
          <w:p w:rsidR="008B668A" w:rsidRPr="005B6ACE" w:rsidRDefault="008B668A" w:rsidP="0089070B">
            <w:pPr>
              <w:rPr>
                <w:b/>
              </w:rPr>
            </w:pPr>
            <w:r>
              <w:rPr>
                <w:b/>
              </w:rPr>
              <w:t>Science</w:t>
            </w:r>
            <w:r w:rsidRPr="005B6ACE">
              <w:rPr>
                <w:b/>
              </w:rPr>
              <w:t xml:space="preserve"> Options</w:t>
            </w:r>
          </w:p>
        </w:tc>
      </w:tr>
      <w:tr w:rsidR="008B668A" w:rsidRPr="005B6ACE" w:rsidTr="0089070B">
        <w:tc>
          <w:tcPr>
            <w:tcW w:w="5575" w:type="dxa"/>
            <w:tcBorders>
              <w:top w:val="nil"/>
              <w:bottom w:val="nil"/>
              <w:right w:val="nil"/>
            </w:tcBorders>
          </w:tcPr>
          <w:p w:rsidR="008B668A" w:rsidRPr="005B6ACE" w:rsidRDefault="008B668A" w:rsidP="0089070B">
            <w:pPr>
              <w:ind w:left="157"/>
              <w:rPr>
                <w:sz w:val="20"/>
                <w:szCs w:val="20"/>
                <w:u w:val="single"/>
              </w:rPr>
            </w:pPr>
            <w:r w:rsidRPr="005B6ACE">
              <w:rPr>
                <w:sz w:val="20"/>
                <w:szCs w:val="20"/>
                <w:u w:val="single"/>
              </w:rPr>
              <w:t>Course Option</w:t>
            </w:r>
          </w:p>
        </w:tc>
        <w:tc>
          <w:tcPr>
            <w:tcW w:w="5215" w:type="dxa"/>
            <w:tcBorders>
              <w:top w:val="nil"/>
              <w:left w:val="nil"/>
              <w:bottom w:val="nil"/>
            </w:tcBorders>
          </w:tcPr>
          <w:p w:rsidR="008B668A" w:rsidRPr="005B6ACE" w:rsidRDefault="008B668A" w:rsidP="0089070B">
            <w:pPr>
              <w:rPr>
                <w:sz w:val="20"/>
                <w:szCs w:val="20"/>
                <w:u w:val="single"/>
              </w:rPr>
            </w:pPr>
            <w:r w:rsidRPr="005B6ACE">
              <w:rPr>
                <w:sz w:val="20"/>
                <w:szCs w:val="20"/>
                <w:u w:val="single"/>
              </w:rPr>
              <w:t xml:space="preserve">Recommended if … </w:t>
            </w:r>
          </w:p>
        </w:tc>
      </w:tr>
      <w:tr w:rsidR="008B668A" w:rsidRPr="005B6ACE" w:rsidTr="0089070B">
        <w:tc>
          <w:tcPr>
            <w:tcW w:w="5575" w:type="dxa"/>
            <w:tcBorders>
              <w:top w:val="nil"/>
              <w:bottom w:val="single" w:sz="4" w:space="0" w:color="auto"/>
              <w:right w:val="nil"/>
            </w:tcBorders>
          </w:tcPr>
          <w:p w:rsidR="008B668A" w:rsidRPr="005B6ACE" w:rsidRDefault="008B668A" w:rsidP="0089070B">
            <w:pPr>
              <w:ind w:left="157"/>
              <w:rPr>
                <w:sz w:val="20"/>
                <w:szCs w:val="20"/>
              </w:rPr>
            </w:pPr>
            <w:r>
              <w:rPr>
                <w:sz w:val="20"/>
                <w:szCs w:val="20"/>
              </w:rPr>
              <w:t>Earth Science</w:t>
            </w:r>
          </w:p>
          <w:p w:rsidR="008B668A" w:rsidRDefault="008B668A" w:rsidP="0089070B">
            <w:pPr>
              <w:ind w:left="157"/>
              <w:rPr>
                <w:sz w:val="20"/>
                <w:szCs w:val="20"/>
              </w:rPr>
            </w:pPr>
            <w:r>
              <w:rPr>
                <w:sz w:val="20"/>
                <w:szCs w:val="20"/>
              </w:rPr>
              <w:t>Earth Science Honors</w:t>
            </w:r>
          </w:p>
          <w:p w:rsidR="008B668A" w:rsidRPr="005B6ACE" w:rsidRDefault="008B668A" w:rsidP="0089070B">
            <w:pPr>
              <w:ind w:left="157"/>
              <w:rPr>
                <w:sz w:val="20"/>
                <w:szCs w:val="20"/>
              </w:rPr>
            </w:pPr>
            <w:r>
              <w:rPr>
                <w:sz w:val="20"/>
                <w:szCs w:val="20"/>
              </w:rPr>
              <w:t>Biology Honors</w:t>
            </w:r>
          </w:p>
        </w:tc>
        <w:tc>
          <w:tcPr>
            <w:tcW w:w="5215" w:type="dxa"/>
            <w:tcBorders>
              <w:top w:val="nil"/>
              <w:left w:val="nil"/>
              <w:bottom w:val="single" w:sz="4" w:space="0" w:color="auto"/>
            </w:tcBorders>
          </w:tcPr>
          <w:p w:rsidR="008B668A" w:rsidRDefault="008B668A" w:rsidP="0089070B">
            <w:pPr>
              <w:rPr>
                <w:sz w:val="20"/>
                <w:szCs w:val="20"/>
              </w:rPr>
            </w:pPr>
            <w:r>
              <w:rPr>
                <w:sz w:val="20"/>
                <w:szCs w:val="20"/>
              </w:rPr>
              <w:t>C or below in 8</w:t>
            </w:r>
            <w:r w:rsidRPr="005B6ACE">
              <w:rPr>
                <w:sz w:val="20"/>
                <w:szCs w:val="20"/>
                <w:vertAlign w:val="superscript"/>
              </w:rPr>
              <w:t>th</w:t>
            </w:r>
            <w:r>
              <w:rPr>
                <w:sz w:val="20"/>
                <w:szCs w:val="20"/>
              </w:rPr>
              <w:t xml:space="preserve"> Grade Science</w:t>
            </w:r>
          </w:p>
          <w:p w:rsidR="008B668A" w:rsidRDefault="008B668A" w:rsidP="0089070B">
            <w:pPr>
              <w:rPr>
                <w:sz w:val="20"/>
                <w:szCs w:val="20"/>
              </w:rPr>
            </w:pPr>
            <w:r>
              <w:rPr>
                <w:sz w:val="20"/>
                <w:szCs w:val="20"/>
              </w:rPr>
              <w:t>A/B in 8</w:t>
            </w:r>
            <w:r w:rsidRPr="00475DB8">
              <w:rPr>
                <w:sz w:val="20"/>
                <w:szCs w:val="20"/>
                <w:vertAlign w:val="superscript"/>
              </w:rPr>
              <w:t>th</w:t>
            </w:r>
            <w:r>
              <w:rPr>
                <w:sz w:val="20"/>
                <w:szCs w:val="20"/>
              </w:rPr>
              <w:t xml:space="preserve"> Grade Science; Also taking Math I or II in 9</w:t>
            </w:r>
            <w:r w:rsidRPr="00475DB8">
              <w:rPr>
                <w:sz w:val="20"/>
                <w:szCs w:val="20"/>
                <w:vertAlign w:val="superscript"/>
              </w:rPr>
              <w:t>th</w:t>
            </w:r>
            <w:r>
              <w:rPr>
                <w:sz w:val="20"/>
                <w:szCs w:val="20"/>
              </w:rPr>
              <w:t xml:space="preserve"> Gr.</w:t>
            </w:r>
          </w:p>
          <w:p w:rsidR="008B668A" w:rsidRPr="005B6ACE" w:rsidRDefault="008B668A" w:rsidP="0089070B">
            <w:pPr>
              <w:rPr>
                <w:sz w:val="20"/>
                <w:szCs w:val="20"/>
              </w:rPr>
            </w:pPr>
            <w:r>
              <w:rPr>
                <w:sz w:val="20"/>
                <w:szCs w:val="20"/>
              </w:rPr>
              <w:t>A/B in 8</w:t>
            </w:r>
            <w:r w:rsidRPr="00475DB8">
              <w:rPr>
                <w:sz w:val="20"/>
                <w:szCs w:val="20"/>
                <w:vertAlign w:val="superscript"/>
              </w:rPr>
              <w:t>th</w:t>
            </w:r>
            <w:r>
              <w:rPr>
                <w:sz w:val="20"/>
                <w:szCs w:val="20"/>
              </w:rPr>
              <w:t xml:space="preserve"> Grade Science; Also taking Honors Math II in 9</w:t>
            </w:r>
            <w:r w:rsidRPr="00475DB8">
              <w:rPr>
                <w:sz w:val="20"/>
                <w:szCs w:val="20"/>
                <w:vertAlign w:val="superscript"/>
              </w:rPr>
              <w:t>th</w:t>
            </w:r>
            <w:r>
              <w:rPr>
                <w:sz w:val="20"/>
                <w:szCs w:val="20"/>
              </w:rPr>
              <w:t xml:space="preserve"> Gr.</w:t>
            </w:r>
          </w:p>
        </w:tc>
      </w:tr>
    </w:tbl>
    <w:p w:rsidR="008B668A" w:rsidRDefault="008B668A" w:rsidP="008B668A">
      <w:pPr>
        <w:spacing w:after="0" w:line="240" w:lineRule="auto"/>
      </w:pPr>
    </w:p>
    <w:tbl>
      <w:tblPr>
        <w:tblStyle w:val="TableGrid"/>
        <w:tblW w:w="0" w:type="auto"/>
        <w:tblBorders>
          <w:insideH w:val="none" w:sz="0" w:space="0" w:color="auto"/>
        </w:tblBorders>
        <w:tblLook w:val="04A0" w:firstRow="1" w:lastRow="0" w:firstColumn="1" w:lastColumn="0" w:noHBand="0" w:noVBand="1"/>
      </w:tblPr>
      <w:tblGrid>
        <w:gridCol w:w="5575"/>
        <w:gridCol w:w="5215"/>
      </w:tblGrid>
      <w:tr w:rsidR="008B668A" w:rsidRPr="005B6ACE" w:rsidTr="0089070B">
        <w:tc>
          <w:tcPr>
            <w:tcW w:w="10790" w:type="dxa"/>
            <w:gridSpan w:val="2"/>
            <w:tcBorders>
              <w:bottom w:val="nil"/>
            </w:tcBorders>
            <w:shd w:val="clear" w:color="auto" w:fill="D9D9D9" w:themeFill="background1" w:themeFillShade="D9"/>
          </w:tcPr>
          <w:p w:rsidR="008B668A" w:rsidRPr="005B6ACE" w:rsidRDefault="008B668A" w:rsidP="0089070B">
            <w:pPr>
              <w:rPr>
                <w:b/>
              </w:rPr>
            </w:pPr>
            <w:r>
              <w:rPr>
                <w:b/>
              </w:rPr>
              <w:t>Social Studies</w:t>
            </w:r>
            <w:r w:rsidRPr="005B6ACE">
              <w:rPr>
                <w:b/>
              </w:rPr>
              <w:t xml:space="preserve"> Options</w:t>
            </w:r>
          </w:p>
        </w:tc>
      </w:tr>
      <w:tr w:rsidR="008B668A" w:rsidRPr="005B6ACE" w:rsidTr="0089070B">
        <w:tc>
          <w:tcPr>
            <w:tcW w:w="5575" w:type="dxa"/>
            <w:tcBorders>
              <w:top w:val="nil"/>
              <w:bottom w:val="nil"/>
              <w:right w:val="nil"/>
            </w:tcBorders>
          </w:tcPr>
          <w:p w:rsidR="008B668A" w:rsidRPr="005B6ACE" w:rsidRDefault="008B668A" w:rsidP="0089070B">
            <w:pPr>
              <w:ind w:left="157"/>
              <w:rPr>
                <w:sz w:val="20"/>
                <w:szCs w:val="20"/>
                <w:u w:val="single"/>
              </w:rPr>
            </w:pPr>
            <w:r w:rsidRPr="005B6ACE">
              <w:rPr>
                <w:sz w:val="20"/>
                <w:szCs w:val="20"/>
                <w:u w:val="single"/>
              </w:rPr>
              <w:t>Course Option</w:t>
            </w:r>
          </w:p>
        </w:tc>
        <w:tc>
          <w:tcPr>
            <w:tcW w:w="5215" w:type="dxa"/>
            <w:tcBorders>
              <w:top w:val="nil"/>
              <w:left w:val="nil"/>
              <w:bottom w:val="nil"/>
            </w:tcBorders>
          </w:tcPr>
          <w:p w:rsidR="008B668A" w:rsidRPr="005B6ACE" w:rsidRDefault="008B668A" w:rsidP="0089070B">
            <w:pPr>
              <w:rPr>
                <w:sz w:val="20"/>
                <w:szCs w:val="20"/>
                <w:u w:val="single"/>
              </w:rPr>
            </w:pPr>
            <w:r w:rsidRPr="005B6ACE">
              <w:rPr>
                <w:sz w:val="20"/>
                <w:szCs w:val="20"/>
                <w:u w:val="single"/>
              </w:rPr>
              <w:t xml:space="preserve">Recommended if … </w:t>
            </w:r>
          </w:p>
        </w:tc>
      </w:tr>
      <w:tr w:rsidR="008B668A" w:rsidRPr="005B6ACE" w:rsidTr="0089070B">
        <w:tc>
          <w:tcPr>
            <w:tcW w:w="5575" w:type="dxa"/>
            <w:tcBorders>
              <w:top w:val="nil"/>
              <w:bottom w:val="single" w:sz="4" w:space="0" w:color="auto"/>
              <w:right w:val="nil"/>
            </w:tcBorders>
          </w:tcPr>
          <w:p w:rsidR="008B668A" w:rsidRDefault="008B668A" w:rsidP="0089070B">
            <w:pPr>
              <w:ind w:left="157"/>
              <w:rPr>
                <w:sz w:val="20"/>
                <w:szCs w:val="20"/>
              </w:rPr>
            </w:pPr>
            <w:r>
              <w:rPr>
                <w:sz w:val="20"/>
                <w:szCs w:val="20"/>
              </w:rPr>
              <w:t>World History</w:t>
            </w:r>
          </w:p>
          <w:p w:rsidR="008B668A" w:rsidRPr="005B6ACE" w:rsidRDefault="008B668A" w:rsidP="0089070B">
            <w:pPr>
              <w:ind w:left="157"/>
              <w:rPr>
                <w:sz w:val="20"/>
                <w:szCs w:val="20"/>
              </w:rPr>
            </w:pPr>
            <w:r>
              <w:rPr>
                <w:sz w:val="20"/>
                <w:szCs w:val="20"/>
              </w:rPr>
              <w:t>World History Honors</w:t>
            </w:r>
          </w:p>
        </w:tc>
        <w:tc>
          <w:tcPr>
            <w:tcW w:w="5215" w:type="dxa"/>
            <w:tcBorders>
              <w:top w:val="nil"/>
              <w:left w:val="nil"/>
              <w:bottom w:val="single" w:sz="4" w:space="0" w:color="auto"/>
            </w:tcBorders>
          </w:tcPr>
          <w:p w:rsidR="008B668A" w:rsidRDefault="008B668A" w:rsidP="0089070B">
            <w:pPr>
              <w:rPr>
                <w:sz w:val="20"/>
                <w:szCs w:val="20"/>
              </w:rPr>
            </w:pPr>
            <w:r>
              <w:rPr>
                <w:sz w:val="20"/>
                <w:szCs w:val="20"/>
              </w:rPr>
              <w:t>C or below in 8</w:t>
            </w:r>
            <w:r w:rsidRPr="00475DB8">
              <w:rPr>
                <w:sz w:val="20"/>
                <w:szCs w:val="20"/>
                <w:vertAlign w:val="superscript"/>
              </w:rPr>
              <w:t>th</w:t>
            </w:r>
            <w:r>
              <w:rPr>
                <w:sz w:val="20"/>
                <w:szCs w:val="20"/>
              </w:rPr>
              <w:t xml:space="preserve"> Grade Social Studies</w:t>
            </w:r>
          </w:p>
          <w:p w:rsidR="008B668A" w:rsidRPr="005B6ACE" w:rsidRDefault="008B668A" w:rsidP="0089070B">
            <w:pPr>
              <w:rPr>
                <w:sz w:val="20"/>
                <w:szCs w:val="20"/>
              </w:rPr>
            </w:pPr>
            <w:r>
              <w:rPr>
                <w:sz w:val="20"/>
                <w:szCs w:val="20"/>
              </w:rPr>
              <w:t>A/B in 8</w:t>
            </w:r>
            <w:r w:rsidRPr="00475DB8">
              <w:rPr>
                <w:sz w:val="20"/>
                <w:szCs w:val="20"/>
                <w:vertAlign w:val="superscript"/>
              </w:rPr>
              <w:t>th</w:t>
            </w:r>
            <w:r>
              <w:rPr>
                <w:sz w:val="20"/>
                <w:szCs w:val="20"/>
              </w:rPr>
              <w:t xml:space="preserve"> Grade Social Studies</w:t>
            </w:r>
          </w:p>
        </w:tc>
      </w:tr>
    </w:tbl>
    <w:p w:rsidR="008B668A" w:rsidRDefault="008B668A" w:rsidP="008B668A">
      <w:pPr>
        <w:spacing w:after="0" w:line="240" w:lineRule="auto"/>
      </w:pPr>
    </w:p>
    <w:tbl>
      <w:tblPr>
        <w:tblStyle w:val="TableGrid"/>
        <w:tblW w:w="0" w:type="auto"/>
        <w:tblBorders>
          <w:insideH w:val="none" w:sz="0" w:space="0" w:color="auto"/>
        </w:tblBorders>
        <w:tblLook w:val="04A0" w:firstRow="1" w:lastRow="0" w:firstColumn="1" w:lastColumn="0" w:noHBand="0" w:noVBand="1"/>
      </w:tblPr>
      <w:tblGrid>
        <w:gridCol w:w="5575"/>
        <w:gridCol w:w="5215"/>
      </w:tblGrid>
      <w:tr w:rsidR="008B668A" w:rsidRPr="005B6ACE" w:rsidTr="0089070B">
        <w:tc>
          <w:tcPr>
            <w:tcW w:w="10790" w:type="dxa"/>
            <w:gridSpan w:val="2"/>
            <w:tcBorders>
              <w:bottom w:val="nil"/>
            </w:tcBorders>
            <w:shd w:val="clear" w:color="auto" w:fill="D9D9D9" w:themeFill="background1" w:themeFillShade="D9"/>
          </w:tcPr>
          <w:p w:rsidR="008B668A" w:rsidRPr="005B6ACE" w:rsidRDefault="008B668A" w:rsidP="0089070B">
            <w:pPr>
              <w:rPr>
                <w:b/>
              </w:rPr>
            </w:pPr>
            <w:r>
              <w:rPr>
                <w:b/>
              </w:rPr>
              <w:t>Health &amp; PE Option</w:t>
            </w:r>
          </w:p>
        </w:tc>
      </w:tr>
      <w:tr w:rsidR="008B668A" w:rsidRPr="005B6ACE" w:rsidTr="0089070B">
        <w:tc>
          <w:tcPr>
            <w:tcW w:w="5575" w:type="dxa"/>
            <w:tcBorders>
              <w:top w:val="nil"/>
              <w:bottom w:val="nil"/>
              <w:right w:val="nil"/>
            </w:tcBorders>
          </w:tcPr>
          <w:p w:rsidR="008B668A" w:rsidRPr="005B6ACE" w:rsidRDefault="008B668A" w:rsidP="0089070B">
            <w:pPr>
              <w:ind w:left="157"/>
              <w:rPr>
                <w:sz w:val="20"/>
                <w:szCs w:val="20"/>
                <w:u w:val="single"/>
              </w:rPr>
            </w:pPr>
            <w:r w:rsidRPr="005B6ACE">
              <w:rPr>
                <w:sz w:val="20"/>
                <w:szCs w:val="20"/>
                <w:u w:val="single"/>
              </w:rPr>
              <w:t>Course Option</w:t>
            </w:r>
          </w:p>
        </w:tc>
        <w:tc>
          <w:tcPr>
            <w:tcW w:w="5215" w:type="dxa"/>
            <w:tcBorders>
              <w:top w:val="nil"/>
              <w:left w:val="nil"/>
              <w:bottom w:val="nil"/>
            </w:tcBorders>
          </w:tcPr>
          <w:p w:rsidR="008B668A" w:rsidRPr="005B6ACE" w:rsidRDefault="008B668A" w:rsidP="0089070B">
            <w:pPr>
              <w:rPr>
                <w:sz w:val="20"/>
                <w:szCs w:val="20"/>
                <w:u w:val="single"/>
              </w:rPr>
            </w:pPr>
          </w:p>
        </w:tc>
      </w:tr>
      <w:tr w:rsidR="008B668A" w:rsidRPr="005B6ACE" w:rsidTr="0089070B">
        <w:tc>
          <w:tcPr>
            <w:tcW w:w="5575" w:type="dxa"/>
            <w:tcBorders>
              <w:top w:val="nil"/>
              <w:bottom w:val="single" w:sz="4" w:space="0" w:color="auto"/>
              <w:right w:val="nil"/>
            </w:tcBorders>
          </w:tcPr>
          <w:p w:rsidR="008B668A" w:rsidRPr="005B6ACE" w:rsidRDefault="008B668A" w:rsidP="0089070B">
            <w:pPr>
              <w:ind w:left="157"/>
              <w:rPr>
                <w:sz w:val="20"/>
                <w:szCs w:val="20"/>
              </w:rPr>
            </w:pPr>
            <w:r>
              <w:rPr>
                <w:sz w:val="20"/>
                <w:szCs w:val="20"/>
              </w:rPr>
              <w:t>Health &amp; PE</w:t>
            </w:r>
          </w:p>
        </w:tc>
        <w:tc>
          <w:tcPr>
            <w:tcW w:w="5215" w:type="dxa"/>
            <w:tcBorders>
              <w:top w:val="nil"/>
              <w:left w:val="nil"/>
              <w:bottom w:val="single" w:sz="4" w:space="0" w:color="auto"/>
            </w:tcBorders>
          </w:tcPr>
          <w:p w:rsidR="008B668A" w:rsidRPr="005B6ACE" w:rsidRDefault="008B668A" w:rsidP="0089070B">
            <w:pPr>
              <w:rPr>
                <w:sz w:val="20"/>
                <w:szCs w:val="20"/>
              </w:rPr>
            </w:pPr>
            <w:r>
              <w:rPr>
                <w:sz w:val="20"/>
                <w:szCs w:val="20"/>
              </w:rPr>
              <w:t>Graduation Requirement / All 9</w:t>
            </w:r>
            <w:r w:rsidRPr="00475DB8">
              <w:rPr>
                <w:sz w:val="20"/>
                <w:szCs w:val="20"/>
                <w:vertAlign w:val="superscript"/>
              </w:rPr>
              <w:t>th</w:t>
            </w:r>
            <w:r>
              <w:rPr>
                <w:sz w:val="20"/>
                <w:szCs w:val="20"/>
              </w:rPr>
              <w:t xml:space="preserve"> graders sign up for this</w:t>
            </w:r>
          </w:p>
        </w:tc>
      </w:tr>
    </w:tbl>
    <w:p w:rsidR="008B668A" w:rsidRDefault="008B668A" w:rsidP="008B668A">
      <w:pPr>
        <w:spacing w:after="0" w:line="240" w:lineRule="auto"/>
      </w:pPr>
    </w:p>
    <w:tbl>
      <w:tblPr>
        <w:tblStyle w:val="TableGrid"/>
        <w:tblW w:w="0" w:type="auto"/>
        <w:tblBorders>
          <w:insideH w:val="none" w:sz="0" w:space="0" w:color="auto"/>
        </w:tblBorders>
        <w:tblLook w:val="04A0" w:firstRow="1" w:lastRow="0" w:firstColumn="1" w:lastColumn="0" w:noHBand="0" w:noVBand="1"/>
      </w:tblPr>
      <w:tblGrid>
        <w:gridCol w:w="2697"/>
        <w:gridCol w:w="2698"/>
        <w:gridCol w:w="2697"/>
        <w:gridCol w:w="2698"/>
      </w:tblGrid>
      <w:tr w:rsidR="008B668A" w:rsidRPr="005B6ACE" w:rsidTr="0089070B">
        <w:tc>
          <w:tcPr>
            <w:tcW w:w="10790" w:type="dxa"/>
            <w:gridSpan w:val="4"/>
            <w:tcBorders>
              <w:bottom w:val="nil"/>
            </w:tcBorders>
            <w:shd w:val="clear" w:color="auto" w:fill="D9D9D9" w:themeFill="background1" w:themeFillShade="D9"/>
          </w:tcPr>
          <w:p w:rsidR="008B668A" w:rsidRPr="005B6ACE" w:rsidRDefault="008B668A" w:rsidP="0089070B">
            <w:pPr>
              <w:rPr>
                <w:b/>
              </w:rPr>
            </w:pPr>
            <w:r>
              <w:rPr>
                <w:b/>
              </w:rPr>
              <w:t>Elective Options</w:t>
            </w:r>
          </w:p>
        </w:tc>
      </w:tr>
      <w:tr w:rsidR="008B668A" w:rsidRPr="005B6ACE" w:rsidTr="0089070B">
        <w:trPr>
          <w:trHeight w:val="82"/>
        </w:trPr>
        <w:tc>
          <w:tcPr>
            <w:tcW w:w="2697" w:type="dxa"/>
            <w:tcBorders>
              <w:top w:val="nil"/>
            </w:tcBorders>
          </w:tcPr>
          <w:p w:rsidR="008B668A" w:rsidRDefault="008B668A" w:rsidP="0089070B">
            <w:pPr>
              <w:ind w:left="157" w:hanging="157"/>
              <w:rPr>
                <w:sz w:val="20"/>
                <w:szCs w:val="20"/>
                <w:u w:val="single"/>
              </w:rPr>
            </w:pPr>
            <w:r>
              <w:rPr>
                <w:sz w:val="20"/>
                <w:szCs w:val="20"/>
                <w:u w:val="single"/>
              </w:rPr>
              <w:t>Career &amp; Technical Education</w:t>
            </w:r>
          </w:p>
          <w:p w:rsidR="008B668A" w:rsidRPr="00475DB8" w:rsidRDefault="008B668A" w:rsidP="0089070B">
            <w:pPr>
              <w:ind w:left="157" w:hanging="157"/>
              <w:rPr>
                <w:sz w:val="18"/>
                <w:szCs w:val="18"/>
              </w:rPr>
            </w:pPr>
            <w:r w:rsidRPr="00475DB8">
              <w:rPr>
                <w:sz w:val="18"/>
                <w:szCs w:val="18"/>
              </w:rPr>
              <w:t>Core &amp; Sustainable Construction</w:t>
            </w:r>
          </w:p>
          <w:p w:rsidR="008B668A" w:rsidRPr="00475DB8" w:rsidRDefault="008B668A" w:rsidP="0089070B">
            <w:pPr>
              <w:ind w:left="157" w:hanging="157"/>
              <w:rPr>
                <w:sz w:val="18"/>
                <w:szCs w:val="18"/>
              </w:rPr>
            </w:pPr>
            <w:r w:rsidRPr="00475DB8">
              <w:rPr>
                <w:sz w:val="18"/>
                <w:szCs w:val="18"/>
              </w:rPr>
              <w:t>Drafting I</w:t>
            </w:r>
          </w:p>
          <w:p w:rsidR="008B668A" w:rsidRPr="00475DB8" w:rsidRDefault="008B668A" w:rsidP="0089070B">
            <w:pPr>
              <w:ind w:left="157" w:hanging="157"/>
              <w:rPr>
                <w:sz w:val="18"/>
                <w:szCs w:val="18"/>
              </w:rPr>
            </w:pPr>
            <w:r w:rsidRPr="00475DB8">
              <w:rPr>
                <w:sz w:val="18"/>
                <w:szCs w:val="18"/>
              </w:rPr>
              <w:t>Marketing I</w:t>
            </w:r>
          </w:p>
          <w:p w:rsidR="008B668A" w:rsidRPr="00475DB8" w:rsidRDefault="008B668A" w:rsidP="0089070B">
            <w:pPr>
              <w:ind w:left="157" w:hanging="157"/>
              <w:rPr>
                <w:sz w:val="18"/>
                <w:szCs w:val="18"/>
              </w:rPr>
            </w:pPr>
            <w:r w:rsidRPr="00475DB8">
              <w:rPr>
                <w:sz w:val="18"/>
                <w:szCs w:val="18"/>
              </w:rPr>
              <w:t>Microsoft Word &amp; PowerPoint</w:t>
            </w:r>
          </w:p>
          <w:p w:rsidR="008B668A" w:rsidRPr="00475DB8" w:rsidRDefault="008B668A" w:rsidP="0089070B">
            <w:pPr>
              <w:ind w:left="157" w:hanging="157"/>
              <w:rPr>
                <w:sz w:val="18"/>
                <w:szCs w:val="18"/>
              </w:rPr>
            </w:pPr>
            <w:r w:rsidRPr="00475DB8">
              <w:rPr>
                <w:sz w:val="18"/>
                <w:szCs w:val="18"/>
              </w:rPr>
              <w:t>Microsoft Excel &amp; Access</w:t>
            </w:r>
          </w:p>
          <w:p w:rsidR="008B668A" w:rsidRPr="00475DB8" w:rsidRDefault="008B668A" w:rsidP="0089070B">
            <w:pPr>
              <w:ind w:left="157" w:hanging="157"/>
              <w:rPr>
                <w:sz w:val="18"/>
                <w:szCs w:val="18"/>
              </w:rPr>
            </w:pPr>
            <w:r w:rsidRPr="00475DB8">
              <w:rPr>
                <w:sz w:val="18"/>
                <w:szCs w:val="18"/>
              </w:rPr>
              <w:t>Parenting &amp; Child Develop.</w:t>
            </w:r>
          </w:p>
          <w:p w:rsidR="008B668A" w:rsidRPr="00475DB8" w:rsidRDefault="008B668A" w:rsidP="0089070B">
            <w:pPr>
              <w:ind w:left="157" w:hanging="157"/>
              <w:rPr>
                <w:sz w:val="18"/>
                <w:szCs w:val="18"/>
              </w:rPr>
            </w:pPr>
            <w:r w:rsidRPr="00475DB8">
              <w:rPr>
                <w:sz w:val="18"/>
                <w:szCs w:val="18"/>
              </w:rPr>
              <w:t>Personal  Finance</w:t>
            </w:r>
          </w:p>
          <w:p w:rsidR="008B668A" w:rsidRPr="00475DB8" w:rsidRDefault="008B668A" w:rsidP="0089070B">
            <w:pPr>
              <w:ind w:left="157" w:hanging="157"/>
              <w:rPr>
                <w:sz w:val="18"/>
                <w:szCs w:val="18"/>
              </w:rPr>
            </w:pPr>
            <w:r w:rsidRPr="00475DB8">
              <w:rPr>
                <w:sz w:val="18"/>
                <w:szCs w:val="18"/>
              </w:rPr>
              <w:t>Principles of Business &amp; Finance</w:t>
            </w:r>
          </w:p>
          <w:p w:rsidR="008B668A" w:rsidRPr="00475DB8" w:rsidRDefault="008B668A" w:rsidP="0089070B">
            <w:pPr>
              <w:ind w:left="157" w:hanging="157"/>
              <w:rPr>
                <w:sz w:val="18"/>
                <w:szCs w:val="18"/>
              </w:rPr>
            </w:pPr>
            <w:r w:rsidRPr="00475DB8">
              <w:rPr>
                <w:sz w:val="18"/>
                <w:szCs w:val="18"/>
              </w:rPr>
              <w:t>Principles of Family &amp; Human Services</w:t>
            </w:r>
          </w:p>
          <w:p w:rsidR="008B668A" w:rsidRPr="00475DB8" w:rsidRDefault="008B668A" w:rsidP="0089070B">
            <w:pPr>
              <w:ind w:left="157" w:hanging="157"/>
              <w:rPr>
                <w:sz w:val="18"/>
                <w:szCs w:val="18"/>
              </w:rPr>
            </w:pPr>
            <w:r w:rsidRPr="00475DB8">
              <w:rPr>
                <w:sz w:val="18"/>
                <w:szCs w:val="18"/>
              </w:rPr>
              <w:t>Scientific &amp; Technical Visualization I</w:t>
            </w:r>
          </w:p>
          <w:p w:rsidR="008B668A" w:rsidRPr="00475DB8" w:rsidRDefault="008B668A" w:rsidP="0089070B">
            <w:pPr>
              <w:ind w:left="157" w:hanging="157"/>
              <w:rPr>
                <w:sz w:val="18"/>
                <w:szCs w:val="18"/>
              </w:rPr>
            </w:pPr>
            <w:r w:rsidRPr="00475DB8">
              <w:rPr>
                <w:sz w:val="18"/>
                <w:szCs w:val="18"/>
              </w:rPr>
              <w:t>Sports &amp; Entertainment Marketing</w:t>
            </w:r>
          </w:p>
          <w:p w:rsidR="008B668A" w:rsidRPr="00575AB4" w:rsidRDefault="008B668A" w:rsidP="0089070B">
            <w:pPr>
              <w:ind w:left="157" w:hanging="157"/>
              <w:rPr>
                <w:sz w:val="18"/>
                <w:szCs w:val="18"/>
              </w:rPr>
            </w:pPr>
            <w:r>
              <w:rPr>
                <w:sz w:val="18"/>
                <w:szCs w:val="18"/>
              </w:rPr>
              <w:t>Technology Engineering &amp; Design</w:t>
            </w:r>
          </w:p>
        </w:tc>
        <w:tc>
          <w:tcPr>
            <w:tcW w:w="2698" w:type="dxa"/>
            <w:tcBorders>
              <w:top w:val="nil"/>
            </w:tcBorders>
          </w:tcPr>
          <w:p w:rsidR="008B668A" w:rsidRDefault="008B668A" w:rsidP="0089070B">
            <w:pPr>
              <w:rPr>
                <w:sz w:val="20"/>
                <w:szCs w:val="20"/>
                <w:u w:val="single"/>
              </w:rPr>
            </w:pPr>
            <w:r>
              <w:rPr>
                <w:sz w:val="20"/>
                <w:szCs w:val="20"/>
                <w:u w:val="single"/>
              </w:rPr>
              <w:t>English Electives</w:t>
            </w:r>
          </w:p>
          <w:p w:rsidR="008B668A" w:rsidRDefault="008B668A" w:rsidP="0089070B">
            <w:pPr>
              <w:ind w:left="160" w:hanging="160"/>
              <w:rPr>
                <w:sz w:val="18"/>
                <w:szCs w:val="18"/>
              </w:rPr>
            </w:pPr>
            <w:r>
              <w:rPr>
                <w:sz w:val="18"/>
                <w:szCs w:val="18"/>
              </w:rPr>
              <w:t>Argument Theory &amp; Practice Honors</w:t>
            </w:r>
          </w:p>
          <w:p w:rsidR="008B668A" w:rsidRDefault="008B668A" w:rsidP="0089070B">
            <w:pPr>
              <w:ind w:left="160" w:hanging="160"/>
              <w:rPr>
                <w:sz w:val="18"/>
                <w:szCs w:val="18"/>
              </w:rPr>
            </w:pPr>
            <w:r>
              <w:rPr>
                <w:sz w:val="18"/>
                <w:szCs w:val="18"/>
              </w:rPr>
              <w:t>Creative Writing I</w:t>
            </w:r>
          </w:p>
          <w:p w:rsidR="008B668A" w:rsidRDefault="008B668A" w:rsidP="0089070B">
            <w:pPr>
              <w:ind w:left="160" w:hanging="160"/>
              <w:rPr>
                <w:sz w:val="18"/>
                <w:szCs w:val="18"/>
              </w:rPr>
            </w:pPr>
            <w:r>
              <w:rPr>
                <w:sz w:val="18"/>
                <w:szCs w:val="18"/>
              </w:rPr>
              <w:t>Creative Writing I Honors</w:t>
            </w:r>
          </w:p>
          <w:p w:rsidR="008B668A" w:rsidRDefault="008B668A" w:rsidP="0089070B">
            <w:pPr>
              <w:ind w:left="160" w:hanging="160"/>
              <w:rPr>
                <w:sz w:val="18"/>
                <w:szCs w:val="18"/>
              </w:rPr>
            </w:pPr>
            <w:r>
              <w:rPr>
                <w:sz w:val="18"/>
                <w:szCs w:val="18"/>
              </w:rPr>
              <w:t>Human Experience Honors</w:t>
            </w:r>
          </w:p>
          <w:p w:rsidR="008B668A" w:rsidRDefault="008B668A" w:rsidP="0089070B">
            <w:pPr>
              <w:ind w:left="160" w:hanging="160"/>
              <w:rPr>
                <w:sz w:val="18"/>
                <w:szCs w:val="18"/>
              </w:rPr>
            </w:pPr>
            <w:r>
              <w:rPr>
                <w:sz w:val="18"/>
                <w:szCs w:val="18"/>
              </w:rPr>
              <w:t xml:space="preserve">Speech I </w:t>
            </w:r>
          </w:p>
          <w:p w:rsidR="008B668A" w:rsidRDefault="008B668A" w:rsidP="0089070B">
            <w:pPr>
              <w:ind w:left="160" w:hanging="160"/>
              <w:rPr>
                <w:sz w:val="18"/>
                <w:szCs w:val="18"/>
              </w:rPr>
            </w:pPr>
            <w:r>
              <w:rPr>
                <w:sz w:val="18"/>
                <w:szCs w:val="18"/>
              </w:rPr>
              <w:t>Speech I Honors</w:t>
            </w:r>
          </w:p>
          <w:p w:rsidR="008B668A" w:rsidRDefault="008B668A" w:rsidP="0089070B">
            <w:pPr>
              <w:rPr>
                <w:sz w:val="18"/>
                <w:szCs w:val="18"/>
              </w:rPr>
            </w:pPr>
          </w:p>
          <w:p w:rsidR="008B668A" w:rsidRDefault="008B668A" w:rsidP="0089070B">
            <w:pPr>
              <w:rPr>
                <w:sz w:val="20"/>
                <w:szCs w:val="20"/>
                <w:u w:val="single"/>
              </w:rPr>
            </w:pPr>
            <w:r>
              <w:rPr>
                <w:sz w:val="20"/>
                <w:szCs w:val="20"/>
                <w:u w:val="single"/>
              </w:rPr>
              <w:t>Social Studies Electives</w:t>
            </w:r>
          </w:p>
          <w:p w:rsidR="008B668A" w:rsidRDefault="008B668A" w:rsidP="0089070B">
            <w:pPr>
              <w:ind w:left="160" w:hanging="160"/>
              <w:rPr>
                <w:sz w:val="18"/>
                <w:szCs w:val="18"/>
              </w:rPr>
            </w:pPr>
            <w:r>
              <w:rPr>
                <w:sz w:val="18"/>
                <w:szCs w:val="18"/>
              </w:rPr>
              <w:t>Psychology / Sociology</w:t>
            </w:r>
          </w:p>
          <w:p w:rsidR="008B668A" w:rsidRPr="00475DB8" w:rsidRDefault="008B668A" w:rsidP="0089070B">
            <w:pPr>
              <w:rPr>
                <w:sz w:val="18"/>
                <w:szCs w:val="18"/>
              </w:rPr>
            </w:pPr>
          </w:p>
        </w:tc>
        <w:tc>
          <w:tcPr>
            <w:tcW w:w="2697" w:type="dxa"/>
            <w:tcBorders>
              <w:top w:val="nil"/>
            </w:tcBorders>
          </w:tcPr>
          <w:p w:rsidR="008B668A" w:rsidRDefault="008B668A" w:rsidP="0089070B">
            <w:pPr>
              <w:rPr>
                <w:sz w:val="20"/>
                <w:szCs w:val="20"/>
                <w:u w:val="single"/>
              </w:rPr>
            </w:pPr>
            <w:r>
              <w:rPr>
                <w:sz w:val="20"/>
                <w:szCs w:val="20"/>
                <w:u w:val="single"/>
              </w:rPr>
              <w:t>Fine Arts Electives</w:t>
            </w:r>
          </w:p>
          <w:p w:rsidR="008B668A" w:rsidRDefault="008B668A" w:rsidP="0089070B">
            <w:pPr>
              <w:ind w:left="160" w:hanging="160"/>
              <w:rPr>
                <w:sz w:val="18"/>
                <w:szCs w:val="18"/>
              </w:rPr>
            </w:pPr>
            <w:r>
              <w:rPr>
                <w:sz w:val="18"/>
                <w:szCs w:val="18"/>
              </w:rPr>
              <w:t>Band (yearlong)</w:t>
            </w:r>
          </w:p>
          <w:p w:rsidR="008B668A" w:rsidRDefault="008B668A" w:rsidP="0089070B">
            <w:pPr>
              <w:ind w:left="160" w:hanging="160"/>
              <w:rPr>
                <w:sz w:val="18"/>
                <w:szCs w:val="18"/>
              </w:rPr>
            </w:pPr>
            <w:r>
              <w:rPr>
                <w:sz w:val="18"/>
                <w:szCs w:val="18"/>
              </w:rPr>
              <w:t>Modern Dance I</w:t>
            </w:r>
          </w:p>
          <w:p w:rsidR="008B668A" w:rsidRDefault="008B668A" w:rsidP="0089070B">
            <w:pPr>
              <w:ind w:left="160" w:hanging="160"/>
              <w:rPr>
                <w:sz w:val="18"/>
                <w:szCs w:val="18"/>
              </w:rPr>
            </w:pPr>
            <w:r>
              <w:rPr>
                <w:sz w:val="18"/>
                <w:szCs w:val="18"/>
              </w:rPr>
              <w:t>Theatre Arts I</w:t>
            </w:r>
          </w:p>
          <w:p w:rsidR="008B668A" w:rsidRDefault="008B668A" w:rsidP="0089070B">
            <w:pPr>
              <w:ind w:left="160" w:hanging="160"/>
              <w:rPr>
                <w:sz w:val="18"/>
                <w:szCs w:val="18"/>
              </w:rPr>
            </w:pPr>
            <w:r>
              <w:rPr>
                <w:sz w:val="18"/>
                <w:szCs w:val="18"/>
              </w:rPr>
              <w:t>Visual Arts I</w:t>
            </w:r>
          </w:p>
          <w:p w:rsidR="008B668A" w:rsidRDefault="008B668A" w:rsidP="0089070B">
            <w:pPr>
              <w:ind w:left="160" w:hanging="160"/>
              <w:rPr>
                <w:sz w:val="18"/>
                <w:szCs w:val="18"/>
              </w:rPr>
            </w:pPr>
            <w:r>
              <w:rPr>
                <w:sz w:val="18"/>
                <w:szCs w:val="18"/>
              </w:rPr>
              <w:t>Visual Arts II</w:t>
            </w:r>
          </w:p>
          <w:p w:rsidR="008B668A" w:rsidRDefault="008B668A" w:rsidP="0089070B">
            <w:pPr>
              <w:ind w:left="160" w:hanging="160"/>
              <w:rPr>
                <w:sz w:val="18"/>
                <w:szCs w:val="18"/>
              </w:rPr>
            </w:pPr>
            <w:r>
              <w:rPr>
                <w:sz w:val="18"/>
                <w:szCs w:val="18"/>
              </w:rPr>
              <w:t>Vocal Music (yearlong)</w:t>
            </w:r>
          </w:p>
          <w:p w:rsidR="008B668A" w:rsidRDefault="008B668A" w:rsidP="0089070B">
            <w:pPr>
              <w:ind w:left="160" w:hanging="160"/>
              <w:rPr>
                <w:sz w:val="18"/>
                <w:szCs w:val="18"/>
              </w:rPr>
            </w:pPr>
            <w:r>
              <w:rPr>
                <w:sz w:val="18"/>
                <w:szCs w:val="18"/>
              </w:rPr>
              <w:t>Vocal Music (fall only)</w:t>
            </w:r>
          </w:p>
          <w:p w:rsidR="008B668A" w:rsidRPr="005B6ACE" w:rsidRDefault="008B668A" w:rsidP="0089070B">
            <w:pPr>
              <w:rPr>
                <w:sz w:val="20"/>
                <w:szCs w:val="20"/>
                <w:u w:val="single"/>
              </w:rPr>
            </w:pPr>
          </w:p>
        </w:tc>
        <w:tc>
          <w:tcPr>
            <w:tcW w:w="2698" w:type="dxa"/>
            <w:tcBorders>
              <w:top w:val="nil"/>
            </w:tcBorders>
          </w:tcPr>
          <w:p w:rsidR="008B668A" w:rsidRDefault="008B668A" w:rsidP="0089070B">
            <w:pPr>
              <w:rPr>
                <w:sz w:val="20"/>
                <w:szCs w:val="20"/>
                <w:u w:val="single"/>
              </w:rPr>
            </w:pPr>
            <w:r>
              <w:rPr>
                <w:sz w:val="20"/>
                <w:szCs w:val="20"/>
                <w:u w:val="single"/>
              </w:rPr>
              <w:t>World Languages</w:t>
            </w:r>
          </w:p>
          <w:p w:rsidR="008B668A" w:rsidRDefault="008B668A" w:rsidP="0089070B">
            <w:pPr>
              <w:rPr>
                <w:sz w:val="18"/>
                <w:szCs w:val="18"/>
              </w:rPr>
            </w:pPr>
            <w:r>
              <w:rPr>
                <w:sz w:val="18"/>
                <w:szCs w:val="18"/>
              </w:rPr>
              <w:t>French I</w:t>
            </w:r>
          </w:p>
          <w:p w:rsidR="008B668A" w:rsidRDefault="008B668A" w:rsidP="0089070B">
            <w:pPr>
              <w:rPr>
                <w:sz w:val="18"/>
                <w:szCs w:val="18"/>
              </w:rPr>
            </w:pPr>
            <w:r>
              <w:rPr>
                <w:sz w:val="18"/>
                <w:szCs w:val="18"/>
              </w:rPr>
              <w:t>French II</w:t>
            </w:r>
          </w:p>
          <w:p w:rsidR="008B668A" w:rsidRDefault="008B668A" w:rsidP="0089070B">
            <w:pPr>
              <w:rPr>
                <w:sz w:val="18"/>
                <w:szCs w:val="18"/>
              </w:rPr>
            </w:pPr>
            <w:r>
              <w:rPr>
                <w:sz w:val="18"/>
                <w:szCs w:val="18"/>
              </w:rPr>
              <w:t>Latin I</w:t>
            </w:r>
          </w:p>
          <w:p w:rsidR="008B668A" w:rsidRDefault="008B668A" w:rsidP="0089070B">
            <w:pPr>
              <w:rPr>
                <w:sz w:val="18"/>
                <w:szCs w:val="18"/>
              </w:rPr>
            </w:pPr>
            <w:r>
              <w:rPr>
                <w:sz w:val="18"/>
                <w:szCs w:val="18"/>
              </w:rPr>
              <w:t>Latin II</w:t>
            </w:r>
          </w:p>
          <w:p w:rsidR="008B668A" w:rsidRDefault="008B668A" w:rsidP="0089070B">
            <w:pPr>
              <w:rPr>
                <w:sz w:val="18"/>
                <w:szCs w:val="18"/>
              </w:rPr>
            </w:pPr>
            <w:r>
              <w:rPr>
                <w:sz w:val="18"/>
                <w:szCs w:val="18"/>
              </w:rPr>
              <w:t>Spanish I</w:t>
            </w:r>
          </w:p>
          <w:p w:rsidR="008B668A" w:rsidRDefault="008B668A" w:rsidP="0089070B">
            <w:pPr>
              <w:rPr>
                <w:sz w:val="18"/>
                <w:szCs w:val="18"/>
              </w:rPr>
            </w:pPr>
            <w:r>
              <w:rPr>
                <w:sz w:val="18"/>
                <w:szCs w:val="18"/>
              </w:rPr>
              <w:t>Spanish II</w:t>
            </w:r>
          </w:p>
          <w:p w:rsidR="008B668A" w:rsidRDefault="008B668A" w:rsidP="0089070B">
            <w:pPr>
              <w:rPr>
                <w:sz w:val="18"/>
                <w:szCs w:val="18"/>
              </w:rPr>
            </w:pPr>
          </w:p>
          <w:p w:rsidR="008B668A" w:rsidRPr="00575AB4" w:rsidRDefault="008B668A" w:rsidP="0089070B">
            <w:pPr>
              <w:rPr>
                <w:i/>
                <w:sz w:val="18"/>
                <w:szCs w:val="18"/>
              </w:rPr>
            </w:pPr>
            <w:r w:rsidRPr="00575AB4">
              <w:rPr>
                <w:i/>
                <w:sz w:val="18"/>
                <w:szCs w:val="18"/>
              </w:rPr>
              <w:t>Note:  9</w:t>
            </w:r>
            <w:r w:rsidRPr="00575AB4">
              <w:rPr>
                <w:i/>
                <w:sz w:val="18"/>
                <w:szCs w:val="18"/>
                <w:vertAlign w:val="superscript"/>
              </w:rPr>
              <w:t>th</w:t>
            </w:r>
            <w:r w:rsidRPr="00575AB4">
              <w:rPr>
                <w:i/>
                <w:sz w:val="18"/>
                <w:szCs w:val="18"/>
              </w:rPr>
              <w:t xml:space="preserve"> graders are enrolled in world languages as space permits.</w:t>
            </w:r>
          </w:p>
        </w:tc>
      </w:tr>
    </w:tbl>
    <w:p w:rsidR="008B668A" w:rsidRDefault="008B668A" w:rsidP="008B668A">
      <w:pPr>
        <w:spacing w:after="0" w:line="240" w:lineRule="auto"/>
      </w:pPr>
    </w:p>
    <w:tbl>
      <w:tblPr>
        <w:tblStyle w:val="TableGrid"/>
        <w:tblW w:w="0" w:type="auto"/>
        <w:tblBorders>
          <w:insideH w:val="none" w:sz="0" w:space="0" w:color="auto"/>
        </w:tblBorders>
        <w:tblLook w:val="04A0" w:firstRow="1" w:lastRow="0" w:firstColumn="1" w:lastColumn="0" w:noHBand="0" w:noVBand="1"/>
      </w:tblPr>
      <w:tblGrid>
        <w:gridCol w:w="5575"/>
        <w:gridCol w:w="5215"/>
      </w:tblGrid>
      <w:tr w:rsidR="008B668A" w:rsidRPr="005B6ACE" w:rsidTr="0089070B">
        <w:tc>
          <w:tcPr>
            <w:tcW w:w="10790" w:type="dxa"/>
            <w:gridSpan w:val="2"/>
            <w:tcBorders>
              <w:bottom w:val="nil"/>
            </w:tcBorders>
            <w:shd w:val="clear" w:color="auto" w:fill="D9D9D9" w:themeFill="background1" w:themeFillShade="D9"/>
          </w:tcPr>
          <w:p w:rsidR="008B668A" w:rsidRPr="005B6ACE" w:rsidRDefault="008B668A" w:rsidP="0089070B">
            <w:pPr>
              <w:rPr>
                <w:b/>
              </w:rPr>
            </w:pPr>
            <w:r>
              <w:rPr>
                <w:b/>
              </w:rPr>
              <w:t>Other Courses</w:t>
            </w:r>
          </w:p>
        </w:tc>
      </w:tr>
      <w:tr w:rsidR="008B668A" w:rsidRPr="005B6ACE" w:rsidTr="0089070B">
        <w:tc>
          <w:tcPr>
            <w:tcW w:w="5575" w:type="dxa"/>
            <w:tcBorders>
              <w:top w:val="nil"/>
              <w:bottom w:val="nil"/>
              <w:right w:val="nil"/>
            </w:tcBorders>
          </w:tcPr>
          <w:p w:rsidR="008B668A" w:rsidRPr="005B6ACE" w:rsidRDefault="008B668A" w:rsidP="0089070B">
            <w:pPr>
              <w:ind w:left="157"/>
              <w:rPr>
                <w:sz w:val="20"/>
                <w:szCs w:val="20"/>
                <w:u w:val="single"/>
              </w:rPr>
            </w:pPr>
            <w:r w:rsidRPr="005B6ACE">
              <w:rPr>
                <w:sz w:val="20"/>
                <w:szCs w:val="20"/>
                <w:u w:val="single"/>
              </w:rPr>
              <w:t>Course Option</w:t>
            </w:r>
          </w:p>
        </w:tc>
        <w:tc>
          <w:tcPr>
            <w:tcW w:w="5215" w:type="dxa"/>
            <w:tcBorders>
              <w:top w:val="nil"/>
              <w:left w:val="nil"/>
              <w:bottom w:val="nil"/>
            </w:tcBorders>
          </w:tcPr>
          <w:p w:rsidR="008B668A" w:rsidRPr="005B6ACE" w:rsidRDefault="008B668A" w:rsidP="0089070B">
            <w:pPr>
              <w:rPr>
                <w:sz w:val="20"/>
                <w:szCs w:val="20"/>
                <w:u w:val="single"/>
              </w:rPr>
            </w:pPr>
          </w:p>
        </w:tc>
      </w:tr>
      <w:tr w:rsidR="008B668A" w:rsidRPr="005B6ACE" w:rsidTr="0089070B">
        <w:tc>
          <w:tcPr>
            <w:tcW w:w="5575" w:type="dxa"/>
            <w:tcBorders>
              <w:top w:val="nil"/>
              <w:bottom w:val="single" w:sz="4" w:space="0" w:color="auto"/>
              <w:right w:val="nil"/>
            </w:tcBorders>
          </w:tcPr>
          <w:p w:rsidR="008B668A" w:rsidRDefault="008B668A" w:rsidP="0089070B">
            <w:pPr>
              <w:ind w:left="157"/>
              <w:rPr>
                <w:sz w:val="20"/>
                <w:szCs w:val="20"/>
              </w:rPr>
            </w:pPr>
            <w:r>
              <w:rPr>
                <w:sz w:val="20"/>
                <w:szCs w:val="20"/>
              </w:rPr>
              <w:t xml:space="preserve">English as a Second Language Courses </w:t>
            </w:r>
          </w:p>
          <w:p w:rsidR="008B668A" w:rsidRDefault="008B668A" w:rsidP="0089070B">
            <w:pPr>
              <w:ind w:left="157"/>
              <w:rPr>
                <w:sz w:val="20"/>
                <w:szCs w:val="20"/>
              </w:rPr>
            </w:pPr>
            <w:r>
              <w:rPr>
                <w:sz w:val="20"/>
                <w:szCs w:val="20"/>
              </w:rPr>
              <w:t>Occupational Course of Study Courses</w:t>
            </w:r>
          </w:p>
          <w:p w:rsidR="008B668A" w:rsidRPr="005B6ACE" w:rsidRDefault="008B668A" w:rsidP="0089070B">
            <w:pPr>
              <w:ind w:left="157"/>
              <w:rPr>
                <w:sz w:val="20"/>
                <w:szCs w:val="20"/>
              </w:rPr>
            </w:pPr>
            <w:r>
              <w:rPr>
                <w:sz w:val="20"/>
                <w:szCs w:val="20"/>
              </w:rPr>
              <w:t>Curriculum Assistance</w:t>
            </w:r>
          </w:p>
        </w:tc>
        <w:tc>
          <w:tcPr>
            <w:tcW w:w="5215" w:type="dxa"/>
            <w:tcBorders>
              <w:top w:val="nil"/>
              <w:left w:val="nil"/>
              <w:bottom w:val="single" w:sz="4" w:space="0" w:color="auto"/>
            </w:tcBorders>
          </w:tcPr>
          <w:p w:rsidR="008B668A" w:rsidRDefault="008B668A" w:rsidP="0089070B">
            <w:pPr>
              <w:rPr>
                <w:sz w:val="20"/>
                <w:szCs w:val="20"/>
              </w:rPr>
            </w:pPr>
            <w:r>
              <w:rPr>
                <w:sz w:val="20"/>
                <w:szCs w:val="20"/>
              </w:rPr>
              <w:t>By Teacher Placement in Course(s)</w:t>
            </w:r>
          </w:p>
          <w:p w:rsidR="008B668A" w:rsidRDefault="008B668A" w:rsidP="0089070B">
            <w:pPr>
              <w:rPr>
                <w:sz w:val="20"/>
                <w:szCs w:val="20"/>
              </w:rPr>
            </w:pPr>
            <w:r>
              <w:rPr>
                <w:sz w:val="20"/>
                <w:szCs w:val="20"/>
              </w:rPr>
              <w:t>Placement as determined by IEP</w:t>
            </w:r>
          </w:p>
          <w:p w:rsidR="008B668A" w:rsidRPr="005B6ACE" w:rsidRDefault="008B668A" w:rsidP="0089070B">
            <w:pPr>
              <w:rPr>
                <w:sz w:val="20"/>
                <w:szCs w:val="20"/>
              </w:rPr>
            </w:pPr>
            <w:r>
              <w:rPr>
                <w:sz w:val="20"/>
                <w:szCs w:val="20"/>
              </w:rPr>
              <w:t>Placement as determined by IEP</w:t>
            </w:r>
          </w:p>
        </w:tc>
      </w:tr>
    </w:tbl>
    <w:p w:rsidR="00BD56CF" w:rsidRDefault="00B7474D"/>
    <w:sectPr w:rsidR="00BD56CF" w:rsidSect="008B668A">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68A"/>
    <w:rsid w:val="00625F8B"/>
    <w:rsid w:val="0075275F"/>
    <w:rsid w:val="008B668A"/>
    <w:rsid w:val="00B74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6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6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Ellington</dc:creator>
  <cp:lastModifiedBy>Marion Oliver</cp:lastModifiedBy>
  <cp:revision>2</cp:revision>
  <dcterms:created xsi:type="dcterms:W3CDTF">2017-01-12T18:19:00Z</dcterms:created>
  <dcterms:modified xsi:type="dcterms:W3CDTF">2017-01-12T18:19:00Z</dcterms:modified>
</cp:coreProperties>
</file>